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35B" w:rsidRPr="0010735B" w:rsidRDefault="0010735B" w:rsidP="0010735B">
      <w:pPr>
        <w:spacing w:before="200"/>
        <w:ind w:right="-8"/>
        <w:rPr>
          <w:sz w:val="28"/>
          <w:szCs w:val="28"/>
        </w:rPr>
      </w:pPr>
      <w:r w:rsidRPr="0010735B">
        <w:rPr>
          <w:sz w:val="28"/>
          <w:szCs w:val="28"/>
        </w:rPr>
        <w:t xml:space="preserve">Лекция-13 </w:t>
      </w:r>
    </w:p>
    <w:p w:rsidR="0010735B" w:rsidRPr="0010735B" w:rsidRDefault="0010735B" w:rsidP="0010735B">
      <w:pPr>
        <w:spacing w:before="200"/>
        <w:ind w:right="-8"/>
        <w:jc w:val="center"/>
        <w:rPr>
          <w:sz w:val="28"/>
          <w:szCs w:val="28"/>
        </w:rPr>
      </w:pPr>
      <w:r w:rsidRPr="0010735B">
        <w:rPr>
          <w:sz w:val="28"/>
          <w:szCs w:val="28"/>
        </w:rPr>
        <w:t>МЕТОДЫ ОПРЕДЕЛЕНИЯ СПЕКТРАЛЬНЫХ    СОСТАВЛЯЮЩИХ ТОКА ЧЕРЕЗ НЕЛИНЕЙНЫЙ  ЭЛЕМЕНТ</w:t>
      </w:r>
    </w:p>
    <w:p w:rsidR="0010735B" w:rsidRPr="0010735B" w:rsidRDefault="0010735B" w:rsidP="0010735B">
      <w:pPr>
        <w:spacing w:before="460"/>
        <w:ind w:left="220"/>
        <w:jc w:val="center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38747E53" wp14:editId="681EF58A">
            <wp:extent cx="2475865" cy="492125"/>
            <wp:effectExtent l="0" t="0" r="635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49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280"/>
        <w:ind w:left="120" w:right="2800" w:firstLine="680"/>
        <w:rPr>
          <w:b w:val="0"/>
          <w:sz w:val="28"/>
          <w:szCs w:val="28"/>
        </w:rPr>
      </w:pPr>
      <w:r w:rsidRPr="0010735B">
        <w:rPr>
          <w:b w:val="0"/>
          <w:sz w:val="28"/>
          <w:szCs w:val="28"/>
        </w:rPr>
        <w:t>Существуют следующие режимы работы НЭ.</w:t>
      </w:r>
    </w:p>
    <w:p w:rsidR="0010735B" w:rsidRPr="0010735B" w:rsidRDefault="0010735B" w:rsidP="0010735B">
      <w:pPr>
        <w:spacing w:before="280"/>
        <w:ind w:right="-8"/>
        <w:jc w:val="both"/>
        <w:rPr>
          <w:b w:val="0"/>
          <w:sz w:val="28"/>
          <w:szCs w:val="28"/>
        </w:rPr>
      </w:pPr>
      <w:r w:rsidRPr="0010735B">
        <w:rPr>
          <w:b w:val="0"/>
          <w:sz w:val="28"/>
          <w:szCs w:val="28"/>
        </w:rPr>
        <w:t>1. Моногармонический режим возбуждения.</w:t>
      </w:r>
    </w:p>
    <w:p w:rsidR="0010735B" w:rsidRPr="0010735B" w:rsidRDefault="0010735B" w:rsidP="0010735B">
      <w:pPr>
        <w:spacing w:before="280"/>
        <w:ind w:right="-8"/>
        <w:jc w:val="both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06BEA29A" wp14:editId="5A709DE6">
            <wp:extent cx="1828800" cy="22479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ind w:left="40"/>
        <w:rPr>
          <w:sz w:val="28"/>
          <w:szCs w:val="28"/>
        </w:rPr>
      </w:pPr>
      <w:r w:rsidRPr="0010735B">
        <w:rPr>
          <w:b w:val="0"/>
          <w:sz w:val="28"/>
          <w:szCs w:val="28"/>
        </w:rPr>
        <w:t>2.Биогармонический режим</w:t>
      </w:r>
    </w:p>
    <w:p w:rsidR="0010735B" w:rsidRPr="0010735B" w:rsidRDefault="0010735B" w:rsidP="0010735B">
      <w:pPr>
        <w:spacing w:before="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2D6663FC" wp14:editId="4C1695CF">
            <wp:extent cx="3263900" cy="281305"/>
            <wp:effectExtent l="0" t="0" r="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ind w:left="4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3. Полигармонический режим</w:t>
      </w:r>
    </w:p>
    <w:p w:rsidR="0010735B" w:rsidRPr="0010735B" w:rsidRDefault="0010735B" w:rsidP="0010735B">
      <w:pPr>
        <w:spacing w:before="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197E092F" wp14:editId="13330188">
            <wp:extent cx="1997710" cy="281305"/>
            <wp:effectExtent l="0" t="0" r="254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240"/>
        <w:ind w:left="720"/>
        <w:rPr>
          <w:sz w:val="28"/>
          <w:szCs w:val="28"/>
        </w:rPr>
      </w:pPr>
      <w:r w:rsidRPr="0010735B">
        <w:rPr>
          <w:b w:val="0"/>
          <w:sz w:val="28"/>
          <w:szCs w:val="28"/>
        </w:rPr>
        <w:t>Для ФУ с Нелинейным элементом существует два случая:</w:t>
      </w:r>
    </w:p>
    <w:p w:rsidR="0010735B" w:rsidRPr="0010735B" w:rsidRDefault="0010735B" w:rsidP="0010735B">
      <w:pPr>
        <w:spacing w:before="0"/>
        <w:ind w:firstLine="70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Если</w:t>
      </w:r>
      <w:r w:rsidRPr="0010735B">
        <w:rPr>
          <w:sz w:val="28"/>
          <w:szCs w:val="28"/>
        </w:rPr>
        <w:t xml:space="preserve"> </w:t>
      </w:r>
      <w:r w:rsidRPr="0010735B">
        <w:rPr>
          <w:position w:val="-10"/>
          <w:sz w:val="28"/>
          <w:szCs w:val="28"/>
        </w:rPr>
        <w:object w:dxaOrig="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25pt;height:16.6pt" o:ole="" fillcolor="window">
            <v:imagedata r:id="rId9" o:title=""/>
          </v:shape>
          <o:OLEObject Type="Embed" ProgID="Equation.3" ShapeID="_x0000_i1025" DrawAspect="Content" ObjectID="_1631278501" r:id="rId10"/>
        </w:object>
      </w:r>
      <w:r w:rsidRPr="0010735B">
        <w:rPr>
          <w:sz w:val="28"/>
          <w:szCs w:val="28"/>
        </w:rPr>
        <w:t>(</w:t>
      </w:r>
      <w:r w:rsidRPr="0010735B">
        <w:rPr>
          <w:position w:val="-10"/>
          <w:sz w:val="28"/>
          <w:szCs w:val="28"/>
        </w:rPr>
        <w:object w:dxaOrig="660" w:dyaOrig="340">
          <v:shape id="_x0000_i1026" type="#_x0000_t75" style="width:33.25pt;height:16.6pt" o:ole="" fillcolor="window">
            <v:imagedata r:id="rId11" o:title=""/>
          </v:shape>
          <o:OLEObject Type="Embed" ProgID="Equation.3" ShapeID="_x0000_i1026" DrawAspect="Content" ObjectID="_1631278502" r:id="rId12"/>
        </w:object>
      </w:r>
      <w:r w:rsidRPr="0010735B">
        <w:rPr>
          <w:sz w:val="28"/>
          <w:szCs w:val="28"/>
        </w:rPr>
        <w:t>),</w:t>
      </w:r>
      <w:r w:rsidRPr="0010735B">
        <w:rPr>
          <w:i/>
          <w:sz w:val="28"/>
          <w:szCs w:val="28"/>
        </w:rPr>
        <w:t xml:space="preserve"> </w:t>
      </w:r>
      <w:r w:rsidRPr="0010735B">
        <w:rPr>
          <w:b w:val="0"/>
          <w:sz w:val="28"/>
          <w:szCs w:val="28"/>
        </w:rPr>
        <w:t>можно представить в виде отношения не</w:t>
      </w:r>
      <w:r w:rsidRPr="0010735B">
        <w:rPr>
          <w:b w:val="0"/>
          <w:sz w:val="28"/>
          <w:szCs w:val="28"/>
        </w:rPr>
        <w:softHyphen/>
        <w:t>больших чисел, то такой режим называется синхронным режимом возбуж</w:t>
      </w:r>
      <w:r w:rsidRPr="0010735B">
        <w:rPr>
          <w:b w:val="0"/>
          <w:sz w:val="28"/>
          <w:szCs w:val="28"/>
        </w:rPr>
        <w:softHyphen/>
        <w:t>дения.</w:t>
      </w:r>
    </w:p>
    <w:p w:rsidR="0010735B" w:rsidRPr="0010735B" w:rsidRDefault="0010735B" w:rsidP="0010735B">
      <w:pPr>
        <w:ind w:left="80" w:firstLine="68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Если</w:t>
      </w:r>
      <w:r w:rsidRPr="0010735B">
        <w:rPr>
          <w:sz w:val="28"/>
          <w:szCs w:val="28"/>
        </w:rPr>
        <w:t xml:space="preserve"> </w:t>
      </w:r>
      <w:r w:rsidRPr="0010735B">
        <w:rPr>
          <w:i/>
          <w:sz w:val="28"/>
          <w:szCs w:val="28"/>
        </w:rPr>
        <w:t xml:space="preserve"> </w:t>
      </w:r>
      <w:r w:rsidRPr="0010735B">
        <w:rPr>
          <w:position w:val="-10"/>
          <w:sz w:val="28"/>
          <w:szCs w:val="28"/>
        </w:rPr>
        <w:object w:dxaOrig="660" w:dyaOrig="340">
          <v:shape id="_x0000_i1027" type="#_x0000_t75" style="width:33.25pt;height:16.6pt" o:ole="" fillcolor="window">
            <v:imagedata r:id="rId9" o:title=""/>
          </v:shape>
          <o:OLEObject Type="Embed" ProgID="Equation.3" ShapeID="_x0000_i1027" DrawAspect="Content" ObjectID="_1631278503" r:id="rId13"/>
        </w:object>
      </w:r>
      <w:r w:rsidRPr="0010735B">
        <w:rPr>
          <w:sz w:val="28"/>
          <w:szCs w:val="28"/>
        </w:rPr>
        <w:t>(</w:t>
      </w:r>
      <w:r w:rsidRPr="0010735B">
        <w:rPr>
          <w:position w:val="-10"/>
          <w:sz w:val="28"/>
          <w:szCs w:val="28"/>
        </w:rPr>
        <w:object w:dxaOrig="660" w:dyaOrig="340">
          <v:shape id="_x0000_i1028" type="#_x0000_t75" style="width:33.25pt;height:16.6pt" o:ole="" fillcolor="window">
            <v:imagedata r:id="rId11" o:title=""/>
          </v:shape>
          <o:OLEObject Type="Embed" ProgID="Equation.3" ShapeID="_x0000_i1028" DrawAspect="Content" ObjectID="_1631278504" r:id="rId14"/>
        </w:object>
      </w:r>
      <w:r w:rsidRPr="0010735B">
        <w:rPr>
          <w:sz w:val="28"/>
          <w:szCs w:val="28"/>
        </w:rPr>
        <w:t>),</w:t>
      </w:r>
      <w:r w:rsidRPr="0010735B">
        <w:rPr>
          <w:b w:val="0"/>
          <w:sz w:val="28"/>
          <w:szCs w:val="28"/>
        </w:rPr>
        <w:t xml:space="preserve"> не возможно представить в виде отношения небольших чисел, то такой режим называется - </w:t>
      </w:r>
      <w:r w:rsidRPr="0010735B">
        <w:rPr>
          <w:b w:val="0"/>
          <w:sz w:val="28"/>
          <w:szCs w:val="28"/>
          <w:u w:val="single"/>
        </w:rPr>
        <w:t>асинхронный.</w:t>
      </w:r>
    </w:p>
    <w:p w:rsidR="0010735B" w:rsidRPr="0010735B" w:rsidRDefault="0010735B" w:rsidP="0010735B">
      <w:pPr>
        <w:spacing w:before="0"/>
        <w:ind w:firstLine="70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В зависимости от выбора аппроксимирующей функции применяют тот или иной метод определения спектральной составляющей (метод спек</w:t>
      </w:r>
      <w:r w:rsidRPr="0010735B">
        <w:rPr>
          <w:b w:val="0"/>
          <w:sz w:val="28"/>
          <w:szCs w:val="28"/>
        </w:rPr>
        <w:softHyphen/>
        <w:t>трального анализа).</w:t>
      </w:r>
    </w:p>
    <w:p w:rsidR="0010735B" w:rsidRPr="0010735B" w:rsidRDefault="0010735B" w:rsidP="0010735B">
      <w:pPr>
        <w:spacing w:before="0"/>
        <w:jc w:val="both"/>
        <w:rPr>
          <w:i/>
          <w:sz w:val="28"/>
          <w:szCs w:val="28"/>
        </w:rPr>
      </w:pPr>
      <w:r w:rsidRPr="0010735B">
        <w:rPr>
          <w:b w:val="0"/>
          <w:sz w:val="28"/>
          <w:szCs w:val="28"/>
        </w:rPr>
        <w:t xml:space="preserve">1. Аппроксимация полиномом </w:t>
      </w:r>
      <w:r w:rsidRPr="0010735B">
        <w:rPr>
          <w:b w:val="0"/>
          <w:i/>
          <w:sz w:val="28"/>
          <w:szCs w:val="28"/>
        </w:rPr>
        <w:t>п</w:t>
      </w:r>
      <w:r w:rsidRPr="0010735B">
        <w:rPr>
          <w:b w:val="0"/>
          <w:i/>
          <w:sz w:val="28"/>
          <w:szCs w:val="28"/>
          <w:vertAlign w:val="superscript"/>
        </w:rPr>
        <w:t xml:space="preserve">ой </w:t>
      </w:r>
      <w:r w:rsidRPr="0010735B">
        <w:rPr>
          <w:b w:val="0"/>
          <w:sz w:val="28"/>
          <w:szCs w:val="28"/>
        </w:rPr>
        <w:t xml:space="preserve"> степени. </w:t>
      </w:r>
      <w:proofErr w:type="spellStart"/>
      <w:r w:rsidRPr="0010735B">
        <w:rPr>
          <w:i/>
          <w:sz w:val="28"/>
          <w:szCs w:val="28"/>
          <w:lang w:val="en-US"/>
        </w:rPr>
        <w:t>i</w:t>
      </w:r>
      <w:proofErr w:type="spellEnd"/>
      <w:r w:rsidRPr="0010735B">
        <w:rPr>
          <w:b w:val="0"/>
          <w:sz w:val="28"/>
          <w:szCs w:val="28"/>
        </w:rPr>
        <w:t xml:space="preserve"> = </w:t>
      </w:r>
      <w:r w:rsidRPr="0010735B">
        <w:rPr>
          <w:b w:val="0"/>
          <w:i/>
          <w:sz w:val="28"/>
          <w:szCs w:val="28"/>
        </w:rPr>
        <w:t>а</w:t>
      </w:r>
      <w:r w:rsidRPr="0010735B">
        <w:rPr>
          <w:b w:val="0"/>
          <w:i/>
          <w:sz w:val="28"/>
          <w:szCs w:val="28"/>
          <w:vertAlign w:val="subscript"/>
        </w:rPr>
        <w:t>0</w:t>
      </w:r>
      <w:r w:rsidRPr="0010735B">
        <w:rPr>
          <w:i/>
          <w:sz w:val="28"/>
          <w:szCs w:val="28"/>
        </w:rPr>
        <w:t xml:space="preserve"> +</w:t>
      </w:r>
      <w:r w:rsidRPr="0010735B">
        <w:rPr>
          <w:i/>
          <w:sz w:val="28"/>
          <w:szCs w:val="28"/>
          <w:lang w:val="en-US"/>
        </w:rPr>
        <w:t>a</w:t>
      </w:r>
      <w:r w:rsidRPr="0010735B">
        <w:rPr>
          <w:i/>
          <w:sz w:val="28"/>
          <w:szCs w:val="28"/>
          <w:vertAlign w:val="subscript"/>
        </w:rPr>
        <w:t>1</w:t>
      </w:r>
      <w:r w:rsidRPr="0010735B">
        <w:rPr>
          <w:i/>
          <w:sz w:val="28"/>
          <w:szCs w:val="28"/>
          <w:lang w:val="en-US"/>
        </w:rPr>
        <w:t>u</w:t>
      </w:r>
      <w:r w:rsidRPr="0010735B">
        <w:rPr>
          <w:b w:val="0"/>
          <w:i/>
          <w:sz w:val="28"/>
          <w:szCs w:val="28"/>
        </w:rPr>
        <w:t xml:space="preserve"> +</w:t>
      </w:r>
      <w:r w:rsidRPr="0010735B">
        <w:rPr>
          <w:b w:val="0"/>
          <w:i/>
          <w:sz w:val="28"/>
          <w:szCs w:val="28"/>
          <w:lang w:val="en-US"/>
        </w:rPr>
        <w:t>a</w:t>
      </w:r>
      <w:r w:rsidRPr="0010735B">
        <w:rPr>
          <w:b w:val="0"/>
          <w:i/>
          <w:sz w:val="28"/>
          <w:szCs w:val="28"/>
          <w:vertAlign w:val="subscript"/>
        </w:rPr>
        <w:t>2</w:t>
      </w:r>
      <w:r w:rsidRPr="0010735B">
        <w:rPr>
          <w:i/>
          <w:sz w:val="28"/>
          <w:szCs w:val="28"/>
        </w:rPr>
        <w:t xml:space="preserve"> и</w:t>
      </w:r>
      <w:r w:rsidRPr="0010735B">
        <w:rPr>
          <w:i/>
          <w:sz w:val="28"/>
          <w:szCs w:val="28"/>
          <w:vertAlign w:val="superscript"/>
        </w:rPr>
        <w:t>2</w:t>
      </w:r>
      <w:r w:rsidRPr="0010735B">
        <w:rPr>
          <w:i/>
          <w:sz w:val="28"/>
          <w:szCs w:val="28"/>
        </w:rPr>
        <w:t xml:space="preserve"> +</w:t>
      </w:r>
      <w:r w:rsidRPr="0010735B">
        <w:rPr>
          <w:sz w:val="28"/>
          <w:szCs w:val="28"/>
        </w:rPr>
        <w:t xml:space="preserve"> ... + </w:t>
      </w:r>
      <w:proofErr w:type="spellStart"/>
      <w:r w:rsidRPr="0010735B">
        <w:rPr>
          <w:sz w:val="28"/>
          <w:szCs w:val="28"/>
          <w:lang w:val="en-US"/>
        </w:rPr>
        <w:t>a</w:t>
      </w:r>
      <w:r w:rsidRPr="0010735B">
        <w:rPr>
          <w:i/>
          <w:sz w:val="28"/>
          <w:szCs w:val="28"/>
          <w:vertAlign w:val="subscript"/>
          <w:lang w:val="en-US"/>
        </w:rPr>
        <w:t>n</w:t>
      </w:r>
      <w:r w:rsidRPr="0010735B">
        <w:rPr>
          <w:i/>
          <w:sz w:val="28"/>
          <w:szCs w:val="28"/>
          <w:lang w:val="en-US"/>
        </w:rPr>
        <w:t>u</w:t>
      </w:r>
      <w:r w:rsidRPr="0010735B">
        <w:rPr>
          <w:i/>
          <w:sz w:val="28"/>
          <w:szCs w:val="28"/>
          <w:vertAlign w:val="superscript"/>
          <w:lang w:val="en-US"/>
        </w:rPr>
        <w:t>n</w:t>
      </w:r>
      <w:proofErr w:type="spellEnd"/>
      <w:r w:rsidRPr="0010735B">
        <w:rPr>
          <w:i/>
          <w:sz w:val="28"/>
          <w:szCs w:val="28"/>
        </w:rPr>
        <w:t xml:space="preserve"> </w:t>
      </w:r>
    </w:p>
    <w:p w:rsidR="0010735B" w:rsidRPr="0010735B" w:rsidRDefault="0010735B" w:rsidP="0010735B">
      <w:pPr>
        <w:spacing w:before="0"/>
        <w:jc w:val="both"/>
        <w:rPr>
          <w:b w:val="0"/>
          <w:sz w:val="28"/>
          <w:szCs w:val="28"/>
        </w:rPr>
      </w:pPr>
      <w:r w:rsidRPr="0010735B">
        <w:rPr>
          <w:b w:val="0"/>
          <w:sz w:val="28"/>
          <w:szCs w:val="28"/>
        </w:rPr>
        <w:t>Используют тригонометрические формулы от кратных аргументов.</w:t>
      </w:r>
    </w:p>
    <w:p w:rsidR="0010735B" w:rsidRPr="0010735B" w:rsidRDefault="0010735B" w:rsidP="0010735B">
      <w:pPr>
        <w:spacing w:before="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2. Аппроксимация ломаной линии: используют метод угла отсечки.</w:t>
      </w:r>
    </w:p>
    <w:p w:rsidR="0010735B" w:rsidRPr="0010735B" w:rsidRDefault="0010735B" w:rsidP="0010735B">
      <w:pPr>
        <w:spacing w:before="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3. Метод трех и пяти ординат, аппроксимация не требуется, спектральные составляющие тока определяются графоаналитическим методом.</w:t>
      </w:r>
    </w:p>
    <w:p w:rsidR="0010735B" w:rsidRPr="0010735B" w:rsidRDefault="0010735B" w:rsidP="0010735B">
      <w:pPr>
        <w:spacing w:before="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4. Аппроксимация экспонентой или сумма экспонент: применяется разло</w:t>
      </w:r>
      <w:r w:rsidRPr="0010735B">
        <w:rPr>
          <w:b w:val="0"/>
          <w:sz w:val="28"/>
          <w:szCs w:val="28"/>
        </w:rPr>
        <w:softHyphen/>
        <w:t>жение тока при помощи функции Бесселя от мнимого аргумента.</w:t>
      </w:r>
    </w:p>
    <w:p w:rsidR="0010735B" w:rsidRPr="0010735B" w:rsidRDefault="0010735B" w:rsidP="0010735B">
      <w:pPr>
        <w:spacing w:before="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5. Аппроксимация функцией гиперболического тангенса: разложение в ряд Тейлора.</w:t>
      </w:r>
    </w:p>
    <w:p w:rsidR="0010735B" w:rsidRPr="0010735B" w:rsidRDefault="0010735B" w:rsidP="0010735B">
      <w:pPr>
        <w:spacing w:before="240"/>
        <w:ind w:right="200"/>
        <w:jc w:val="center"/>
        <w:rPr>
          <w:sz w:val="28"/>
          <w:szCs w:val="28"/>
        </w:rPr>
      </w:pPr>
      <w:r w:rsidRPr="0010735B">
        <w:rPr>
          <w:b w:val="0"/>
          <w:sz w:val="28"/>
          <w:szCs w:val="28"/>
        </w:rPr>
        <w:t>МЕТОД ПРИМЕНЕНИЯ ТРИГОНОМЕТРИЧЕСКИХ ФОРМУЛ ОТ КРАТНОГО АРГУМЕНТА.</w:t>
      </w:r>
    </w:p>
    <w:p w:rsidR="0010735B" w:rsidRPr="0010735B" w:rsidRDefault="0010735B" w:rsidP="0010735B">
      <w:pPr>
        <w:spacing w:before="0"/>
        <w:ind w:left="80" w:firstLine="680"/>
        <w:rPr>
          <w:b w:val="0"/>
          <w:sz w:val="28"/>
          <w:szCs w:val="28"/>
        </w:rPr>
      </w:pPr>
    </w:p>
    <w:p w:rsidR="0010735B" w:rsidRPr="0010735B" w:rsidRDefault="0010735B" w:rsidP="0010735B">
      <w:pPr>
        <w:spacing w:before="0"/>
        <w:ind w:left="80" w:firstLine="68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Этот метод применятся при анализе модуляторов, детекторов, умно</w:t>
      </w:r>
      <w:r w:rsidRPr="0010735B">
        <w:rPr>
          <w:b w:val="0"/>
          <w:sz w:val="28"/>
          <w:szCs w:val="28"/>
        </w:rPr>
        <w:softHyphen/>
        <w:t>жителей частоты и т.д.</w:t>
      </w:r>
    </w:p>
    <w:p w:rsidR="0010735B" w:rsidRPr="0010735B" w:rsidRDefault="0010735B" w:rsidP="0010735B">
      <w:pPr>
        <w:spacing w:before="0"/>
        <w:ind w:left="80" w:firstLine="68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Рассмотрим действие гармонического сигнала на НЭ, ВАХ которого аппроксимирована полиномом 3</w:t>
      </w:r>
      <w:r w:rsidRPr="0010735B">
        <w:rPr>
          <w:b w:val="0"/>
          <w:sz w:val="28"/>
          <w:szCs w:val="28"/>
          <w:vertAlign w:val="superscript"/>
        </w:rPr>
        <w:t>ей</w:t>
      </w:r>
      <w:r w:rsidRPr="0010735B">
        <w:rPr>
          <w:b w:val="0"/>
          <w:sz w:val="28"/>
          <w:szCs w:val="28"/>
        </w:rPr>
        <w:t xml:space="preserve">   степени.</w:t>
      </w:r>
    </w:p>
    <w:p w:rsidR="0010735B" w:rsidRPr="0010735B" w:rsidRDefault="0010735B" w:rsidP="0010735B">
      <w:pPr>
        <w:spacing w:before="0"/>
        <w:ind w:left="20"/>
        <w:rPr>
          <w:sz w:val="28"/>
          <w:szCs w:val="28"/>
        </w:rPr>
      </w:pPr>
      <w:r w:rsidRPr="0010735B">
        <w:rPr>
          <w:noProof/>
          <w:sz w:val="28"/>
          <w:szCs w:val="28"/>
        </w:rPr>
        <w:lastRenderedPageBreak/>
        <w:drawing>
          <wp:inline distT="0" distB="0" distL="0" distR="0" wp14:anchorId="26CE6D63" wp14:editId="58474488">
            <wp:extent cx="1885315" cy="520700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31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ind w:left="800"/>
        <w:rPr>
          <w:sz w:val="28"/>
          <w:szCs w:val="28"/>
        </w:rPr>
      </w:pPr>
      <w:r w:rsidRPr="0010735B">
        <w:rPr>
          <w:b w:val="0"/>
          <w:sz w:val="28"/>
          <w:szCs w:val="28"/>
        </w:rPr>
        <w:t>Спектральные составляющие тока.</w:t>
      </w:r>
    </w:p>
    <w:p w:rsidR="0010735B" w:rsidRPr="0010735B" w:rsidRDefault="0010735B" w:rsidP="0010735B">
      <w:pPr>
        <w:spacing w:before="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411CFFE1" wp14:editId="109138DA">
            <wp:extent cx="1828800" cy="92837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2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ind w:left="120" w:firstLine="700"/>
        <w:jc w:val="both"/>
        <w:rPr>
          <w:sz w:val="28"/>
          <w:szCs w:val="28"/>
        </w:rPr>
      </w:pPr>
      <w:r w:rsidRPr="0010735B">
        <w:rPr>
          <w:b w:val="0"/>
          <w:sz w:val="28"/>
          <w:szCs w:val="28"/>
        </w:rPr>
        <w:t>Наивысший номер гармоники равен в степени аппроксимированного полинома.</w:t>
      </w:r>
    </w:p>
    <w:p w:rsidR="0010735B" w:rsidRPr="0010735B" w:rsidRDefault="0010735B" w:rsidP="0010735B">
      <w:pPr>
        <w:spacing w:before="560"/>
        <w:jc w:val="center"/>
        <w:rPr>
          <w:b w:val="0"/>
          <w:sz w:val="28"/>
          <w:szCs w:val="28"/>
        </w:rPr>
      </w:pPr>
      <w:r w:rsidRPr="0010735B">
        <w:rPr>
          <w:b w:val="0"/>
          <w:sz w:val="28"/>
          <w:szCs w:val="28"/>
        </w:rPr>
        <w:t>ДЕЙСТВИЕ ДВУХ ГАРМОНИЧЕСКИХ КОЛЕБАНИЙ С РАЗЛИЧНЫМИ ЧАСТОТАМИ И НАЧАЛЬНЫМИ ФАЗАМИ</w:t>
      </w:r>
    </w:p>
    <w:p w:rsidR="0010735B" w:rsidRPr="0010735B" w:rsidRDefault="0010735B" w:rsidP="0010735B">
      <w:pPr>
        <w:spacing w:before="340"/>
        <w:ind w:left="8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2E3EBC11" wp14:editId="37C1ACD8">
            <wp:extent cx="3235325" cy="506730"/>
            <wp:effectExtent l="0" t="0" r="3175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3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220"/>
        <w:jc w:val="both"/>
        <w:rPr>
          <w:b w:val="0"/>
          <w:sz w:val="28"/>
          <w:szCs w:val="28"/>
        </w:rPr>
      </w:pPr>
      <w:r w:rsidRPr="0010735B">
        <w:rPr>
          <w:b w:val="0"/>
          <w:sz w:val="28"/>
          <w:szCs w:val="28"/>
        </w:rPr>
        <w:t>Спектральные составляющие тока.</w:t>
      </w:r>
    </w:p>
    <w:p w:rsidR="0010735B" w:rsidRPr="0010735B" w:rsidRDefault="0010735B" w:rsidP="0010735B">
      <w:pPr>
        <w:spacing w:before="0"/>
        <w:ind w:left="6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1C10BE0D" wp14:editId="4957BB8F">
            <wp:extent cx="2869565" cy="1631950"/>
            <wp:effectExtent l="0" t="0" r="6985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rPr>
          <w:sz w:val="28"/>
          <w:szCs w:val="28"/>
        </w:rPr>
      </w:pPr>
      <w:r w:rsidRPr="0010735B">
        <w:rPr>
          <w:b w:val="0"/>
          <w:sz w:val="28"/>
          <w:szCs w:val="28"/>
        </w:rPr>
        <w:t>Комбинационные частоты:</w:t>
      </w:r>
    </w:p>
    <w:p w:rsidR="0010735B" w:rsidRPr="0010735B" w:rsidRDefault="0010735B" w:rsidP="0010735B">
      <w:pPr>
        <w:spacing w:before="40"/>
        <w:ind w:left="2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45C337B0" wp14:editId="6D3C3380">
            <wp:extent cx="1744345" cy="717550"/>
            <wp:effectExtent l="0" t="0" r="825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jc w:val="center"/>
        <w:rPr>
          <w:sz w:val="28"/>
          <w:szCs w:val="28"/>
        </w:rPr>
      </w:pPr>
      <w:r w:rsidRPr="0010735B">
        <w:rPr>
          <w:b w:val="0"/>
          <w:sz w:val="28"/>
          <w:szCs w:val="28"/>
        </w:rPr>
        <w:t>Комбинационные составляющие характеризуются порядком:</w:t>
      </w:r>
    </w:p>
    <w:p w:rsidR="0010735B" w:rsidRPr="0010735B" w:rsidRDefault="0010735B" w:rsidP="0010735B">
      <w:pPr>
        <w:spacing w:before="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3990AA2A" wp14:editId="7DDCE00D">
            <wp:extent cx="2489835" cy="619125"/>
            <wp:effectExtent l="0" t="0" r="571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83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220"/>
        <w:ind w:right="-8"/>
        <w:jc w:val="center"/>
        <w:rPr>
          <w:sz w:val="28"/>
          <w:szCs w:val="28"/>
        </w:rPr>
      </w:pPr>
      <w:r w:rsidRPr="0010735B">
        <w:rPr>
          <w:b w:val="0"/>
          <w:sz w:val="28"/>
          <w:szCs w:val="28"/>
        </w:rPr>
        <w:t>ДЕЙСТВИЕ ДВУХ ГАРМОНИЧЕСКИХ СИГНАЛОВ С КРАТНЫМИ ЧАСТОТАМИ НА НЭ</w:t>
      </w:r>
    </w:p>
    <w:p w:rsidR="0010735B" w:rsidRPr="0010735B" w:rsidRDefault="0010735B" w:rsidP="0010735B">
      <w:pPr>
        <w:spacing w:before="80"/>
        <w:rPr>
          <w:sz w:val="28"/>
          <w:szCs w:val="28"/>
        </w:rPr>
      </w:pPr>
      <w:r w:rsidRPr="0010735B">
        <w:rPr>
          <w:noProof/>
          <w:sz w:val="28"/>
          <w:szCs w:val="28"/>
        </w:rPr>
        <w:drawing>
          <wp:inline distT="0" distB="0" distL="0" distR="0" wp14:anchorId="1D8C47EA" wp14:editId="29AF92C8">
            <wp:extent cx="4164330" cy="802005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33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framePr w:w="3500" w:h="1740" w:hRule="exact" w:hSpace="10080" w:vSpace="40" w:wrap="notBeside" w:vAnchor="text" w:hAnchor="page" w:x="1585" w:y="141" w:anchorLock="1"/>
        <w:spacing w:before="0"/>
        <w:rPr>
          <w:rFonts w:ascii="Arial" w:hAnsi="Arial"/>
          <w:b w:val="0"/>
          <w:sz w:val="28"/>
          <w:szCs w:val="28"/>
        </w:rPr>
      </w:pPr>
      <w:r w:rsidRPr="0010735B">
        <w:rPr>
          <w:rFonts w:ascii="Arial" w:hAnsi="Arial"/>
          <w:b w:val="0"/>
          <w:noProof/>
          <w:sz w:val="28"/>
          <w:szCs w:val="28"/>
        </w:rPr>
        <w:lastRenderedPageBreak/>
        <w:drawing>
          <wp:inline distT="0" distB="0" distL="0" distR="0" wp14:anchorId="4F9ED407" wp14:editId="1B38F46D">
            <wp:extent cx="2236470" cy="1111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framePr w:w="3460" w:h="1920" w:hRule="exact" w:hSpace="10080" w:vSpace="40" w:wrap="notBeside" w:vAnchor="text" w:hAnchor="margin" w:x="4241" w:y="181" w:anchorLock="1"/>
        <w:spacing w:before="0"/>
        <w:rPr>
          <w:rFonts w:ascii="Arial" w:hAnsi="Arial"/>
          <w:b w:val="0"/>
          <w:sz w:val="28"/>
          <w:szCs w:val="28"/>
        </w:rPr>
      </w:pPr>
      <w:r w:rsidRPr="0010735B">
        <w:rPr>
          <w:rFonts w:ascii="Arial" w:hAnsi="Arial"/>
          <w:b w:val="0"/>
          <w:noProof/>
          <w:sz w:val="28"/>
          <w:szCs w:val="28"/>
        </w:rPr>
        <w:drawing>
          <wp:inline distT="0" distB="0" distL="0" distR="0" wp14:anchorId="7305B1F1" wp14:editId="3C885B2B">
            <wp:extent cx="2194560" cy="12236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5B" w:rsidRPr="0010735B" w:rsidRDefault="0010735B" w:rsidP="0010735B">
      <w:pPr>
        <w:spacing w:before="0"/>
        <w:jc w:val="both"/>
        <w:rPr>
          <w:rFonts w:ascii="Arial" w:hAnsi="Arial"/>
          <w:b w:val="0"/>
          <w:sz w:val="28"/>
          <w:szCs w:val="28"/>
        </w:rPr>
      </w:pPr>
    </w:p>
    <w:p w:rsidR="001C1A75" w:rsidRPr="001C1A75" w:rsidRDefault="001C1A75" w:rsidP="001C1A75">
      <w:pPr>
        <w:keepNext/>
        <w:spacing w:before="220"/>
        <w:ind w:left="80"/>
        <w:jc w:val="both"/>
        <w:outlineLvl w:val="3"/>
        <w:rPr>
          <w:sz w:val="28"/>
        </w:rPr>
      </w:pPr>
      <w:r w:rsidRPr="001C1A75">
        <w:rPr>
          <w:sz w:val="28"/>
        </w:rPr>
        <w:t xml:space="preserve">Лекция-14    </w:t>
      </w:r>
      <w:r w:rsidRPr="001C1A75">
        <w:rPr>
          <w:sz w:val="28"/>
        </w:rPr>
        <w:tab/>
      </w:r>
      <w:r w:rsidRPr="001C1A75">
        <w:rPr>
          <w:sz w:val="28"/>
        </w:rPr>
        <w:tab/>
        <w:t xml:space="preserve">    МЕТОД УГЛА ОТСЕЧКИ</w:t>
      </w:r>
    </w:p>
    <w:p w:rsidR="001C1A75" w:rsidRPr="001C1A75" w:rsidRDefault="001C1A75" w:rsidP="001C1A75">
      <w:pPr>
        <w:spacing w:before="0"/>
        <w:ind w:left="120" w:firstLine="700"/>
        <w:jc w:val="both"/>
        <w:rPr>
          <w:b w:val="0"/>
          <w:sz w:val="28"/>
        </w:rPr>
      </w:pPr>
    </w:p>
    <w:p w:rsidR="001C1A75" w:rsidRPr="001C1A75" w:rsidRDefault="001C1A75" w:rsidP="001C1A75">
      <w:pPr>
        <w:spacing w:before="0"/>
        <w:ind w:firstLine="820"/>
        <w:jc w:val="both"/>
        <w:rPr>
          <w:sz w:val="28"/>
        </w:rPr>
      </w:pPr>
      <w:r w:rsidRPr="001C1A75">
        <w:rPr>
          <w:b w:val="0"/>
          <w:sz w:val="28"/>
        </w:rPr>
        <w:t>Применяется при анализе модуляторов, детекторов, ограничителей, умножителей частоты и т.д.</w:t>
      </w:r>
    </w:p>
    <w:p w:rsidR="001C1A75" w:rsidRPr="001C1A75" w:rsidRDefault="001C1A75" w:rsidP="001C1A75">
      <w:pPr>
        <w:spacing w:before="220"/>
        <w:ind w:left="2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303520" cy="3024505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75" w:rsidRPr="001C1A75" w:rsidRDefault="001C1A75" w:rsidP="001C1A75">
      <w:pPr>
        <w:spacing w:before="0"/>
        <w:ind w:firstLine="780"/>
        <w:jc w:val="both"/>
        <w:rPr>
          <w:b w:val="0"/>
          <w:sz w:val="28"/>
        </w:rPr>
      </w:pPr>
    </w:p>
    <w:p w:rsidR="001C1A75" w:rsidRPr="001C1A75" w:rsidRDefault="001C1A75" w:rsidP="001C1A75">
      <w:pPr>
        <w:spacing w:before="0"/>
        <w:ind w:firstLine="780"/>
        <w:jc w:val="both"/>
        <w:rPr>
          <w:sz w:val="28"/>
        </w:rPr>
      </w:pPr>
      <w:r w:rsidRPr="001C1A75">
        <w:rPr>
          <w:b w:val="0"/>
          <w:sz w:val="28"/>
        </w:rPr>
        <w:t>Импульс тока через НЭ характеризуется двумя параметрами: 1. Вы</w:t>
      </w:r>
      <w:r w:rsidRPr="001C1A75">
        <w:rPr>
          <w:b w:val="0"/>
          <w:sz w:val="28"/>
        </w:rPr>
        <w:softHyphen/>
        <w:t xml:space="preserve">сота импульса </w:t>
      </w:r>
      <w:proofErr w:type="spellStart"/>
      <w:r w:rsidRPr="001C1A75">
        <w:rPr>
          <w:i/>
          <w:sz w:val="28"/>
          <w:lang w:val="en-US"/>
        </w:rPr>
        <w:t>I</w:t>
      </w:r>
      <w:r w:rsidRPr="001C1A75">
        <w:rPr>
          <w:i/>
          <w:sz w:val="28"/>
          <w:vertAlign w:val="subscript"/>
          <w:lang w:val="en-US"/>
        </w:rPr>
        <w:t>mox</w:t>
      </w:r>
      <w:proofErr w:type="spellEnd"/>
      <w:r w:rsidRPr="001C1A75">
        <w:rPr>
          <w:b w:val="0"/>
          <w:i/>
          <w:sz w:val="28"/>
        </w:rPr>
        <w:t xml:space="preserve"> </w:t>
      </w:r>
      <w:r w:rsidRPr="001C1A75">
        <w:rPr>
          <w:b w:val="0"/>
          <w:sz w:val="28"/>
        </w:rPr>
        <w:t xml:space="preserve"> 2. Ширина импульса</w:t>
      </w:r>
      <w:r w:rsidRPr="001C1A75">
        <w:rPr>
          <w:sz w:val="28"/>
        </w:rPr>
        <w:t xml:space="preserve"> </w:t>
      </w:r>
      <w:r w:rsidRPr="001C1A75">
        <w:rPr>
          <w:i/>
          <w:sz w:val="28"/>
        </w:rPr>
        <w:t>20,</w:t>
      </w:r>
      <w:r w:rsidRPr="001C1A75">
        <w:rPr>
          <w:b w:val="0"/>
          <w:sz w:val="28"/>
        </w:rPr>
        <w:t xml:space="preserve"> где </w:t>
      </w:r>
      <w:r w:rsidRPr="001C1A75">
        <w:rPr>
          <w:i/>
          <w:sz w:val="28"/>
        </w:rPr>
        <w:t>0</w:t>
      </w:r>
      <w:r w:rsidRPr="001C1A75">
        <w:rPr>
          <w:b w:val="0"/>
          <w:i/>
          <w:sz w:val="28"/>
        </w:rPr>
        <w:t xml:space="preserve"> угол</w:t>
      </w:r>
      <w:r w:rsidRPr="001C1A75">
        <w:rPr>
          <w:b w:val="0"/>
          <w:sz w:val="28"/>
        </w:rPr>
        <w:t xml:space="preserve"> отсечки, т.е. поло</w:t>
      </w:r>
      <w:r w:rsidRPr="001C1A75">
        <w:rPr>
          <w:b w:val="0"/>
          <w:sz w:val="28"/>
        </w:rPr>
        <w:softHyphen/>
        <w:t>вина той части периода, в течение которой проходит ток через НЭ.</w:t>
      </w:r>
    </w:p>
    <w:p w:rsidR="001C1A75" w:rsidRPr="001C1A75" w:rsidRDefault="001C1A75" w:rsidP="001C1A75">
      <w:pPr>
        <w:spacing w:before="0"/>
        <w:ind w:left="4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345430" cy="1941195"/>
            <wp:effectExtent l="0" t="0" r="762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43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75" w:rsidRPr="001C1A75" w:rsidRDefault="001C1A75" w:rsidP="001C1A75">
      <w:pPr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687830" cy="281305"/>
            <wp:effectExtent l="0" t="0" r="762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3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</w:r>
      <w:r w:rsidRPr="001C1A75">
        <w:rPr>
          <w:sz w:val="28"/>
        </w:rPr>
        <w:tab/>
        <w:t>(5)</w:t>
      </w:r>
    </w:p>
    <w:p w:rsidR="001C1A75" w:rsidRPr="001C1A75" w:rsidRDefault="001C1A75" w:rsidP="001C1A75">
      <w:pPr>
        <w:spacing w:before="0"/>
        <w:ind w:left="120" w:firstLine="600"/>
        <w:jc w:val="both"/>
        <w:rPr>
          <w:sz w:val="28"/>
        </w:rPr>
      </w:pPr>
      <w:r w:rsidRPr="001C1A75">
        <w:rPr>
          <w:b w:val="0"/>
          <w:sz w:val="28"/>
        </w:rPr>
        <w:t>Периодическая последовательность импульсов тока является четной функцией, её разложение в ряд Фурье имеет вид:</w:t>
      </w:r>
    </w:p>
    <w:p w:rsidR="001C1A75" w:rsidRPr="001C1A75" w:rsidRDefault="001C1A75" w:rsidP="001C1A75">
      <w:pPr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5401945" cy="25336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94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75" w:rsidRPr="001C1A75" w:rsidRDefault="001C1A75" w:rsidP="001C1A75">
      <w:pPr>
        <w:spacing w:before="0"/>
        <w:ind w:left="80" w:firstLine="700"/>
        <w:jc w:val="both"/>
        <w:rPr>
          <w:b w:val="0"/>
          <w:sz w:val="28"/>
        </w:rPr>
      </w:pPr>
    </w:p>
    <w:p w:rsidR="001C1A75" w:rsidRPr="001C1A75" w:rsidRDefault="001C1A75" w:rsidP="001C1A75">
      <w:pPr>
        <w:spacing w:before="0"/>
        <w:jc w:val="both"/>
        <w:rPr>
          <w:sz w:val="28"/>
        </w:rPr>
      </w:pPr>
      <w:r w:rsidRPr="001C1A75">
        <w:rPr>
          <w:b w:val="0"/>
          <w:sz w:val="28"/>
        </w:rPr>
        <w:t xml:space="preserve">Каждая компонента тока пропорциональна </w:t>
      </w:r>
      <w:r w:rsidRPr="001C1A75">
        <w:rPr>
          <w:i/>
          <w:sz w:val="28"/>
          <w:lang w:val="en-US"/>
        </w:rPr>
        <w:t>SU</w:t>
      </w:r>
      <w:r w:rsidRPr="001C1A75">
        <w:rPr>
          <w:b w:val="0"/>
          <w:sz w:val="28"/>
        </w:rPr>
        <w:t xml:space="preserve"> зависит от угла от</w:t>
      </w:r>
      <w:r w:rsidRPr="001C1A75">
        <w:rPr>
          <w:b w:val="0"/>
          <w:sz w:val="28"/>
        </w:rPr>
        <w:softHyphen/>
        <w:t xml:space="preserve">сечки </w:t>
      </w:r>
      <w:r w:rsidRPr="001C1A75">
        <w:rPr>
          <w:b w:val="0"/>
          <w:position w:val="-6"/>
          <w:sz w:val="28"/>
          <w:lang w:val="en-US"/>
        </w:rPr>
        <w:object w:dxaOrig="260" w:dyaOrig="360">
          <v:shape id="_x0000_i1029" type="#_x0000_t75" style="width:13.3pt;height:17.7pt" o:ole="" fillcolor="window">
            <v:imagedata r:id="rId28" o:title=""/>
          </v:shape>
          <o:OLEObject Type="Embed" ProgID="Equation.3" ShapeID="_x0000_i1029" DrawAspect="Content" ObjectID="_1631278505" r:id="rId29"/>
        </w:object>
      </w:r>
      <w:r w:rsidRPr="001C1A75">
        <w:rPr>
          <w:b w:val="0"/>
          <w:i/>
          <w:sz w:val="28"/>
        </w:rPr>
        <w:t>.</w:t>
      </w:r>
      <w:r w:rsidRPr="001C1A75">
        <w:rPr>
          <w:b w:val="0"/>
          <w:sz w:val="28"/>
        </w:rPr>
        <w:t xml:space="preserve"> Коэффициенты </w:t>
      </w:r>
      <w:r w:rsidRPr="001C1A75">
        <w:rPr>
          <w:b w:val="0"/>
          <w:position w:val="-20"/>
          <w:sz w:val="28"/>
        </w:rPr>
        <w:object w:dxaOrig="1579" w:dyaOrig="440">
          <v:shape id="_x0000_i1030" type="#_x0000_t75" style="width:78.65pt;height:22.15pt" o:ole="" fillcolor="window">
            <v:imagedata r:id="rId30" o:title=""/>
          </v:shape>
          <o:OLEObject Type="Embed" ProgID="Equation.3" ShapeID="_x0000_i1030" DrawAspect="Content" ObjectID="_1631278506" r:id="rId31"/>
        </w:object>
      </w:r>
      <w:r w:rsidRPr="001C1A75">
        <w:rPr>
          <w:b w:val="0"/>
          <w:sz w:val="28"/>
        </w:rPr>
        <w:t xml:space="preserve"> называются соответственно коэф</w:t>
      </w:r>
      <w:r w:rsidRPr="001C1A75">
        <w:rPr>
          <w:b w:val="0"/>
          <w:sz w:val="28"/>
        </w:rPr>
        <w:softHyphen/>
        <w:t>фициентами постоянной составляющей, 1, 2 и прочих гармоник. Коэффи</w:t>
      </w:r>
      <w:r w:rsidRPr="001C1A75">
        <w:rPr>
          <w:b w:val="0"/>
          <w:sz w:val="28"/>
        </w:rPr>
        <w:softHyphen/>
        <w:t xml:space="preserve">циенты гармоник являются нормированными относительно </w:t>
      </w:r>
      <w:r w:rsidRPr="001C1A75">
        <w:rPr>
          <w:i/>
          <w:sz w:val="28"/>
        </w:rPr>
        <w:t>SU</w:t>
      </w:r>
      <w:r w:rsidRPr="001C1A75">
        <w:rPr>
          <w:b w:val="0"/>
          <w:sz w:val="28"/>
        </w:rPr>
        <w:t xml:space="preserve"> амплиту</w:t>
      </w:r>
      <w:r w:rsidRPr="001C1A75">
        <w:rPr>
          <w:b w:val="0"/>
          <w:sz w:val="28"/>
        </w:rPr>
        <w:softHyphen/>
        <w:t xml:space="preserve">дами спектральных составляющих тока, определяющими влияние угла отсечки на амплитуду компонент: </w:t>
      </w:r>
      <w:r>
        <w:rPr>
          <w:noProof/>
          <w:sz w:val="28"/>
        </w:rPr>
        <w:drawing>
          <wp:inline distT="0" distB="0" distL="0" distR="0">
            <wp:extent cx="970915" cy="46418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75" w:rsidRPr="001C1A75" w:rsidRDefault="001C1A75" w:rsidP="001C1A75">
      <w:pPr>
        <w:spacing w:before="120"/>
        <w:ind w:firstLine="720"/>
        <w:jc w:val="both"/>
        <w:rPr>
          <w:sz w:val="28"/>
        </w:rPr>
      </w:pPr>
      <w:r w:rsidRPr="001C1A75">
        <w:rPr>
          <w:b w:val="0"/>
          <w:sz w:val="28"/>
        </w:rPr>
        <w:t xml:space="preserve">Используя графические зависимости коэффициентов Берга от </w:t>
      </w:r>
      <w:r w:rsidRPr="001C1A75">
        <w:rPr>
          <w:b w:val="0"/>
          <w:position w:val="-6"/>
          <w:sz w:val="28"/>
          <w:lang w:val="en-US"/>
        </w:rPr>
        <w:object w:dxaOrig="260" w:dyaOrig="360">
          <v:shape id="_x0000_i1031" type="#_x0000_t75" style="width:13.3pt;height:17.7pt" o:ole="" fillcolor="window">
            <v:imagedata r:id="rId28" o:title=""/>
          </v:shape>
          <o:OLEObject Type="Embed" ProgID="Equation.3" ShapeID="_x0000_i1031" DrawAspect="Content" ObjectID="_1631278507" r:id="rId33"/>
        </w:object>
      </w:r>
      <w:r w:rsidRPr="001C1A75">
        <w:rPr>
          <w:b w:val="0"/>
          <w:sz w:val="28"/>
        </w:rPr>
        <w:t xml:space="preserve"> ам</w:t>
      </w:r>
      <w:r w:rsidRPr="001C1A75">
        <w:rPr>
          <w:b w:val="0"/>
          <w:sz w:val="28"/>
        </w:rPr>
        <w:softHyphen/>
        <w:t>плитуды компонент тока определяются как:</w:t>
      </w:r>
      <w:r w:rsidRPr="001C1A75">
        <w:rPr>
          <w:sz w:val="28"/>
        </w:rPr>
        <w:t xml:space="preserve"> </w:t>
      </w:r>
      <w:r w:rsidRPr="001C1A75">
        <w:rPr>
          <w:i/>
          <w:sz w:val="28"/>
          <w:lang w:val="en-US"/>
        </w:rPr>
        <w:t>I</w:t>
      </w:r>
      <w:r w:rsidRPr="001C1A75">
        <w:rPr>
          <w:i/>
          <w:sz w:val="28"/>
          <w:vertAlign w:val="subscript"/>
          <w:lang w:val="en-US"/>
        </w:rPr>
        <w:t>n</w:t>
      </w:r>
      <w:r w:rsidRPr="001C1A75">
        <w:rPr>
          <w:sz w:val="28"/>
        </w:rPr>
        <w:t xml:space="preserve"> </w:t>
      </w:r>
      <w:r w:rsidRPr="001C1A75">
        <w:rPr>
          <w:i/>
          <w:sz w:val="28"/>
        </w:rPr>
        <w:t xml:space="preserve">= </w:t>
      </w:r>
      <w:r w:rsidRPr="001C1A75">
        <w:rPr>
          <w:i/>
          <w:sz w:val="28"/>
          <w:lang w:val="en-US"/>
        </w:rPr>
        <w:t>SU</w:t>
      </w:r>
      <w:r w:rsidRPr="001C1A75">
        <w:rPr>
          <w:i/>
          <w:sz w:val="28"/>
        </w:rPr>
        <w:t xml:space="preserve"> </w:t>
      </w:r>
      <w:r w:rsidRPr="001C1A75">
        <w:rPr>
          <w:i/>
          <w:position w:val="-20"/>
          <w:sz w:val="28"/>
          <w:lang w:val="en-US"/>
        </w:rPr>
        <w:object w:dxaOrig="360" w:dyaOrig="440">
          <v:shape id="_x0000_i1032" type="#_x0000_t75" style="width:17.7pt;height:22.15pt" o:ole="" fillcolor="window">
            <v:imagedata r:id="rId34" o:title=""/>
          </v:shape>
          <o:OLEObject Type="Embed" ProgID="Equation.3" ShapeID="_x0000_i1032" DrawAspect="Content" ObjectID="_1631278508" r:id="rId35"/>
        </w:object>
      </w:r>
      <w:r w:rsidRPr="001C1A75">
        <w:rPr>
          <w:i/>
          <w:sz w:val="28"/>
        </w:rPr>
        <w:t>(0)</w:t>
      </w:r>
    </w:p>
    <w:p w:rsidR="001C1A75" w:rsidRPr="001C1A75" w:rsidRDefault="001C1A75" w:rsidP="001C1A75">
      <w:pPr>
        <w:spacing w:before="120"/>
        <w:ind w:firstLine="720"/>
        <w:jc w:val="both"/>
        <w:rPr>
          <w:sz w:val="28"/>
        </w:rPr>
      </w:pPr>
      <w:r w:rsidRPr="001C1A75">
        <w:rPr>
          <w:b w:val="0"/>
          <w:sz w:val="28"/>
        </w:rPr>
        <w:t>Максимальные значения</w:t>
      </w:r>
      <w:r w:rsidRPr="001C1A75">
        <w:rPr>
          <w:sz w:val="28"/>
        </w:rPr>
        <w:t xml:space="preserve"> </w:t>
      </w:r>
      <w:r w:rsidRPr="001C1A75">
        <w:rPr>
          <w:i/>
          <w:position w:val="-20"/>
          <w:sz w:val="28"/>
          <w:lang w:val="en-US"/>
        </w:rPr>
        <w:object w:dxaOrig="360" w:dyaOrig="440">
          <v:shape id="_x0000_i1033" type="#_x0000_t75" style="width:17.7pt;height:22.15pt" o:ole="" fillcolor="window">
            <v:imagedata r:id="rId34" o:title=""/>
          </v:shape>
          <o:OLEObject Type="Embed" ProgID="Equation.3" ShapeID="_x0000_i1033" DrawAspect="Content" ObjectID="_1631278509" r:id="rId36"/>
        </w:object>
      </w:r>
      <w:r w:rsidRPr="001C1A75">
        <w:rPr>
          <w:i/>
          <w:sz w:val="28"/>
        </w:rPr>
        <w:t>(0)</w:t>
      </w:r>
      <w:r w:rsidRPr="001C1A75">
        <w:rPr>
          <w:b w:val="0"/>
          <w:sz w:val="28"/>
        </w:rPr>
        <w:t xml:space="preserve"> для </w:t>
      </w:r>
      <w:r w:rsidRPr="001C1A75">
        <w:rPr>
          <w:b w:val="0"/>
          <w:sz w:val="28"/>
          <w:lang w:val="en-US"/>
        </w:rPr>
        <w:t>n</w:t>
      </w:r>
      <w:r w:rsidRPr="001C1A75">
        <w:rPr>
          <w:b w:val="0"/>
          <w:sz w:val="28"/>
        </w:rPr>
        <w:t xml:space="preserve"> </w:t>
      </w:r>
      <w:r w:rsidRPr="001C1A75">
        <w:rPr>
          <w:b w:val="0"/>
          <w:position w:val="-4"/>
          <w:sz w:val="28"/>
          <w:lang w:val="en-US"/>
        </w:rPr>
        <w:object w:dxaOrig="260" w:dyaOrig="300">
          <v:shape id="_x0000_i1034" type="#_x0000_t75" style="width:13.3pt;height:15.5pt" o:ole="" fillcolor="window">
            <v:imagedata r:id="rId37" o:title=""/>
          </v:shape>
          <o:OLEObject Type="Embed" ProgID="Equation.3" ShapeID="_x0000_i1034" DrawAspect="Content" ObjectID="_1631278510" r:id="rId38"/>
        </w:object>
      </w:r>
      <w:r w:rsidRPr="001C1A75">
        <w:rPr>
          <w:b w:val="0"/>
          <w:sz w:val="28"/>
        </w:rPr>
        <w:t xml:space="preserve"> 1 достигается при</w:t>
      </w:r>
      <w:r w:rsidRPr="001C1A75">
        <w:rPr>
          <w:sz w:val="28"/>
        </w:rPr>
        <w:t xml:space="preserve"> </w:t>
      </w:r>
      <w:r w:rsidRPr="001C1A75">
        <w:rPr>
          <w:i/>
          <w:sz w:val="28"/>
        </w:rPr>
        <w:t>0 =180</w:t>
      </w:r>
      <w:r w:rsidRPr="001C1A75">
        <w:rPr>
          <w:i/>
          <w:sz w:val="28"/>
          <w:vertAlign w:val="superscript"/>
        </w:rPr>
        <w:t>0</w:t>
      </w:r>
      <w:r w:rsidRPr="001C1A75">
        <w:rPr>
          <w:i/>
          <w:sz w:val="28"/>
        </w:rPr>
        <w:t xml:space="preserve"> /п</w:t>
      </w:r>
    </w:p>
    <w:p w:rsidR="00DC467E" w:rsidRPr="0010735B" w:rsidRDefault="00DC467E" w:rsidP="0010735B">
      <w:pPr>
        <w:rPr>
          <w:sz w:val="28"/>
          <w:szCs w:val="28"/>
        </w:rPr>
      </w:pPr>
      <w:bookmarkStart w:id="0" w:name="_GoBack"/>
      <w:bookmarkEnd w:id="0"/>
    </w:p>
    <w:sectPr w:rsidR="00DC467E" w:rsidRPr="00107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037"/>
    <w:rsid w:val="0010735B"/>
    <w:rsid w:val="001C1A75"/>
    <w:rsid w:val="00222037"/>
    <w:rsid w:val="00DC467E"/>
    <w:rsid w:val="00EF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1E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A7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 w:val="0"/>
      <w:bCs w:val="0"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EF21E3"/>
    <w:pPr>
      <w:keepNext/>
      <w:spacing w:before="0"/>
      <w:ind w:left="40"/>
      <w:jc w:val="both"/>
      <w:outlineLvl w:val="5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EF21E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FR2">
    <w:name w:val="FR2"/>
    <w:rsid w:val="00EF21E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2">
    <w:name w:val="Body Text 2"/>
    <w:basedOn w:val="Normal"/>
    <w:link w:val="BodyText2Char"/>
    <w:semiHidden/>
    <w:rsid w:val="00EF21E3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EF21E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1E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1E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0735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0735B"/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A7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1E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A7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 w:val="0"/>
      <w:bCs w:val="0"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EF21E3"/>
    <w:pPr>
      <w:keepNext/>
      <w:spacing w:before="0"/>
      <w:ind w:left="40"/>
      <w:jc w:val="both"/>
      <w:outlineLvl w:val="5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EF21E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FR2">
    <w:name w:val="FR2"/>
    <w:rsid w:val="00EF21E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2">
    <w:name w:val="Body Text 2"/>
    <w:basedOn w:val="Normal"/>
    <w:link w:val="BodyText2Char"/>
    <w:semiHidden/>
    <w:rsid w:val="00EF21E3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EF21E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1E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1E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0735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0735B"/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A7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3.bin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3.wmf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24" Type="http://schemas.openxmlformats.org/officeDocument/2006/relationships/image" Target="media/image16.png"/><Relationship Id="rId32" Type="http://schemas.openxmlformats.org/officeDocument/2006/relationships/image" Target="media/image22.png"/><Relationship Id="rId37" Type="http://schemas.openxmlformats.org/officeDocument/2006/relationships/image" Target="media/image24.wmf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wmf"/><Relationship Id="rId36" Type="http://schemas.openxmlformats.org/officeDocument/2006/relationships/oleObject" Target="embeddings/oleObject9.bin"/><Relationship Id="rId10" Type="http://schemas.openxmlformats.org/officeDocument/2006/relationships/oleObject" Target="embeddings/oleObject1.bin"/><Relationship Id="rId19" Type="http://schemas.openxmlformats.org/officeDocument/2006/relationships/image" Target="media/image11.png"/><Relationship Id="rId31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4.bin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1.wmf"/><Relationship Id="rId35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2019-09-29T09:26:00Z</dcterms:created>
  <dcterms:modified xsi:type="dcterms:W3CDTF">2019-09-29T10:07:00Z</dcterms:modified>
</cp:coreProperties>
</file>